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131/2025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Proíbe a reprodução de músicas que contenham apologia ao crime, uso de drogas, violência, conteúdo pornográfico, linguagem obscena ou expressões de duplo sentido nas escolas municipais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