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Proíbe a reprodução de músicas que contenham apologia ao crime, uso de drogas, violência, conteúdo pornográfico, linguagem obscena ou expressões de duplo sentido nas escolas municipais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