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O INCISO II DO ARTIGO 2º E O PARÁGRAFO ÚNICO DO ARTIGO 4º DA LEI ORDINÁRIA Nº 7.365 DE 16 DE JANEIRO DE 2025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