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ao Desenvolvimento Empresarial Sustentável e cria o Selo Empresa Verde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