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para implantação de novos sistemas de transmissão de subestações de energia elétrica em áreas urbanas e comerciais do Município do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