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99/2025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liberdade de expressão no ambiente escolar e a proteção do professor frente a casos de violência no exercício de sua atividade profissional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