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99/2025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99/2025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liberdade de expressão no ambiente escolar e a proteção do professor frente a casos de violência no exercício de sua atividade profissional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