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47EAF3F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DB2BBC">
        <w:rPr>
          <w:rFonts w:ascii="Arial" w:hAnsi="Arial" w:cs="Arial"/>
          <w:b/>
          <w:sz w:val="22"/>
        </w:rPr>
        <w:t xml:space="preserve">Milena </w:t>
      </w:r>
      <w:r w:rsidRPr="00C322B2" w:rsidR="00DB2BBC">
        <w:rPr>
          <w:rFonts w:ascii="Arial" w:hAnsi="Arial" w:cs="Arial"/>
          <w:b/>
          <w:sz w:val="22"/>
        </w:rPr>
        <w:t>Pedroni</w:t>
      </w:r>
      <w:r w:rsidRPr="00C322B2" w:rsidR="00DB2BBC">
        <w:rPr>
          <w:rFonts w:ascii="Arial" w:hAnsi="Arial" w:cs="Arial"/>
          <w:b/>
          <w:sz w:val="22"/>
        </w:rPr>
        <w:t xml:space="preserve"> Barroca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5E4C71">
        <w:rPr>
          <w:rFonts w:ascii="Arial" w:hAnsi="Arial" w:cs="Arial"/>
          <w:b/>
          <w:sz w:val="22"/>
        </w:rPr>
        <w:t xml:space="preserve">Residencial Portal Bordon II.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8078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046E5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2021-04-19T12:27:00Z</dcterms:created>
  <dcterms:modified xsi:type="dcterms:W3CDTF">2021-04-19T12:27:00Z</dcterms:modified>
</cp:coreProperties>
</file>