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Árvore, Roçagem e Limpeza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Antônio Soares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Árvore, Roçagem e Limpeza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Rua João Antônio Soares - Jardim Bom Retiro, </w:t>
      </w:r>
      <w:r w:rsidRPr="00000000">
        <w:rPr>
          <w:rFonts w:ascii="Arial" w:eastAsia="Arial" w:hAnsi="Arial" w:cs="Arial"/>
          <w:sz w:val="24"/>
          <w:szCs w:val="24"/>
          <w:rtl w:val="0"/>
        </w:rPr>
        <w:t>tendo como ponto de referência a Escola Municipal Analia Oliveira Nascimento.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atender à demanda da população, visto que as árvores podem danificar veículos que passam pela via, e o mato alto e o lixo nas calçadas afetam gravemente a mobilidade dos pedestres, especialmente das crianças que estudam na escola supramencionada, além de gerar sensação de abandono do espaço público.</w:t>
      </w:r>
    </w:p>
    <w:p w:rsidR="00000000" w:rsidRPr="00000000" w:rsidP="00000000" w14:paraId="00000009">
      <w:pPr>
        <w:spacing w:before="240" w:after="24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janeiro de 2025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79865567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12560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654833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392623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2708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250429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82027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03083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