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sponsabilidade pela coleta, transporte e disposição final ambientalmente adequada dos resíduos sólidos produzidos pelos grandes geradores, na forma que especific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