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sponsabilidade pela coleta, transporte e disposição final ambientalmente adequada dos resíduos sólidos produzidos pelos grandes geradores, na forma que especifica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