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redação do artigo 2º e do artigo 3° da Lei Municipal nº 6.179, de 24 de abril de 2019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