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a redação do artigo 2º e do artigo 3° da Lei Municipal nº 6.179, de 24 de abril de 2019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