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lteração de dispositivos da Lei Municipal nº 5721 de 16 de janeiro de 2015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