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lteração de dispositivos da Lei Municipal nº 5721 de 16 de janeiro de 201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