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>Indica Mutirão Contra Dengue na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Área Cura.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Mutirão Contra Dengue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Área Cura.</w:t>
      </w:r>
    </w:p>
    <w:p w:rsidR="00000000" w:rsidRPr="00000000" w:rsidP="00000000" w14:paraId="00000008">
      <w:pPr>
        <w:spacing w:before="240" w:after="240" w:line="240" w:lineRule="auto"/>
        <w:ind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É fundamental que esta ação inclua, além de visitas domiciliares para orientação e eliminação de criadouros, o serviço de aplicação de fumacê, a fim de reforçar a proteção à população e mitigar a propagação do mosquito </w:t>
      </w:r>
      <w:r w:rsidRPr="00000000">
        <w:rPr>
          <w:rFonts w:ascii="Arial" w:eastAsia="Arial" w:hAnsi="Arial" w:cs="Arial"/>
          <w:i/>
          <w:sz w:val="24"/>
          <w:szCs w:val="24"/>
          <w:rtl w:val="0"/>
        </w:rPr>
        <w:t>Aedes aegypti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9">
      <w:pPr>
        <w:spacing w:before="240" w:after="240" w:line="240" w:lineRule="auto"/>
        <w:ind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Tal medida é importante para prevenir surtos da doença, preservar a saúde dos munícipes e evitar a sobrecarga no sistema de saúde. </w:t>
      </w:r>
    </w:p>
    <w:p w:rsidR="00000000" w:rsidRPr="00000000" w:rsidP="00000000" w14:paraId="0000000A">
      <w:pPr>
        <w:spacing w:after="120" w:line="30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janeiro de 2025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214623671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933194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p w:rsidR="00000000" w:rsidRPr="00000000" w:rsidP="00000000" w14:paraId="00000016">
      <w:pPr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7">
      <w:pPr>
        <w:spacing w:after="80"/>
        <w:ind w:left="0" w:firstLine="0"/>
        <w:rPr>
          <w:rFonts w:ascii="Arial" w:eastAsia="Arial" w:hAnsi="Arial" w:cs="Arial"/>
          <w:b/>
          <w:sz w:val="24"/>
          <w:szCs w:val="24"/>
        </w:rPr>
      </w:pP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bookmarkStart w:id="2" w:name="_1fob9te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43744777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7968270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B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C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197710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434320843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59105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5383578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