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32/2025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de divulgação dos Custos de Locação dos Prédios Públicos alugados pelo Município, através da criação de QR-CODES com os valores detalhados,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