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 dos Custos de Locação dos Prédios Públicos alugados pelo Município, através da criação de QR-CODES com os valores detalhados,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