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Municipal para instituir o “Vale Ração Animal - VRA”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