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janeiro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obrigatoriedade de divulgação dos custos e detalhes das obras públicas municipais, através da criação de QR-code com as informações detalhadas,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