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1/2025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implantação do “Espaço Motoboy”, nas sub-regiões do município de Sumaré e da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05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05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