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539C" w14:paraId="7F667CDB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FE539C" w14:paraId="19D0DFA3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539C" w14:paraId="7D203046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539C" w14:paraId="56E8F93F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FE539C" w14:paraId="42AEBDA1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39C" w14:paraId="44AD97DD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39C" w14:paraId="52A7D2F9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39C" w14:paraId="0B55848F" w14:textId="33026AC3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DISPÕE SOBRE A IMPLEMENTAÇÃO DE MEDIDAS DE PROTEÇÃO, PREVENÇÃO E IDENTIFICAÇÃO À PRÁTICA DE ATOS QUE COLOQUEM A MULHER EM SITUAÇÃO DE RISCO OU VIOLÊNCIA SEXUAL EM LOCAIS DE LAZER E OUTROS ESTABELECIMENTOS DESTINADOS AO ENTRETENIMENTO E INSTITUI NO MUNICÍPIO DE SUMARÉ O “PROTOCOLO DE SEGURANÇA NÃO SE CALEM”.</w:t>
      </w:r>
    </w:p>
    <w:p w:rsidR="00FE539C" w14:paraId="6ACB1D37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cc2gxg2is0zw" w:colFirst="0" w:colLast="0"/>
      <w:bookmarkEnd w:id="0"/>
    </w:p>
    <w:p w:rsidR="00FE539C" w14:paraId="0D2CBAD3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829se28cu09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FE539C" w14:paraId="0807DD3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FE539C" w14:paraId="30BF238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FE539C" w14:paraId="2FC3F9D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FE539C" w14:paraId="0C54A59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E539C" w14:paraId="26616EB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1º Esta Lei estabelece Protocolo de Segurança “Não se calem” para implementação de medidas de proteção prevenção e identificação a prática de atos que coloquem a mulher em situação de risco ou violência sexual em locais de lazer e outros estabelecimentos públicos ou privados destinados ao entretenimento em Sumaré, vedados pelo Decreto-Lei nº 2.848, de 7 de dezembro de 1940, pela Lei nº</w:t>
      </w:r>
    </w:p>
    <w:p w:rsidR="00FE539C" w14:paraId="02E0582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12.015, de 7 de agosto de 2009, pela Convenção sobre a Eliminação de Todas as</w:t>
      </w:r>
    </w:p>
    <w:p w:rsidR="00FE539C" w14:paraId="73A3114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Formas de Discriminação contra a Mulher (Decreto Lei 4377/2002), e pela Convenção de Belém do Pará (Decreto Lei nº 1.973/1996).</w:t>
      </w:r>
    </w:p>
    <w:p w:rsidR="00FE539C" w14:paraId="51D9EE3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§1º Para efeitos desta lei considera-se situação de risco toda ação ou conduta baseada no gênero que possa causar morte, dano ou sofrimento físico, sexual ou psicológico à mulher e violência sexual aquela em que a pessoa alegue ter sido submetida a qualquer ato, tentativa ou outra forma de coação que tenha por finalidade a interação sexual sem consentimento tanto no âmbito público como no privado, já</w:t>
      </w:r>
    </w:p>
    <w:p w:rsidR="00FE539C" w14:paraId="309396D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definidos por lei.</w:t>
      </w:r>
    </w:p>
    <w:p w:rsidR="00FE539C" w14:paraId="290F2D3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E539C" w14:paraId="4646992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§2º O protocolo de segurança será adotado pelo estabelecimento sempre que identificada a prática de conduta que caracterize situação de risco ou violência sexual</w:t>
      </w:r>
    </w:p>
    <w:p w:rsidR="00FE539C" w14:paraId="1D6D746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contra a mulher.</w:t>
      </w:r>
    </w:p>
    <w:p w:rsidR="00FE539C" w14:paraId="0B16B4F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E539C" w14:paraId="01280CC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2º Considera-se espaços públicos e privados de lazer e outros estabelecimentos destinados ao entretenimento:</w:t>
      </w:r>
    </w:p>
    <w:p w:rsidR="00FE539C" w14:paraId="787F84A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– </w:t>
      </w:r>
      <w:r>
        <w:rPr>
          <w:rFonts w:ascii="Arial" w:eastAsia="Arial" w:hAnsi="Arial" w:cs="Arial"/>
          <w:sz w:val="24"/>
          <w:szCs w:val="24"/>
        </w:rPr>
        <w:t>bares</w:t>
      </w:r>
      <w:r>
        <w:rPr>
          <w:rFonts w:ascii="Arial" w:eastAsia="Arial" w:hAnsi="Arial" w:cs="Arial"/>
          <w:sz w:val="24"/>
          <w:szCs w:val="24"/>
        </w:rPr>
        <w:t>, botecos, adegas</w:t>
      </w:r>
    </w:p>
    <w:p w:rsidR="00FE539C" w14:paraId="4F113B1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 – </w:t>
      </w:r>
      <w:r>
        <w:rPr>
          <w:rFonts w:ascii="Arial" w:eastAsia="Arial" w:hAnsi="Arial" w:cs="Arial"/>
          <w:sz w:val="24"/>
          <w:szCs w:val="24"/>
        </w:rPr>
        <w:t>boates</w:t>
      </w:r>
      <w:r>
        <w:rPr>
          <w:rFonts w:ascii="Arial" w:eastAsia="Arial" w:hAnsi="Arial" w:cs="Arial"/>
          <w:sz w:val="24"/>
          <w:szCs w:val="24"/>
        </w:rPr>
        <w:t>, clubes noturnos, baladas e festas inclusive as universitárias e estudantis;</w:t>
      </w:r>
    </w:p>
    <w:p w:rsidR="00FE539C" w14:paraId="63148B6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 – casas de eventos, espetáculos, museus;</w:t>
      </w:r>
    </w:p>
    <w:p w:rsidR="00FE539C" w14:paraId="2634515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IV – </w:t>
      </w:r>
      <w:r>
        <w:rPr>
          <w:rFonts w:ascii="Arial" w:eastAsia="Arial" w:hAnsi="Arial" w:cs="Arial"/>
          <w:sz w:val="24"/>
          <w:szCs w:val="24"/>
        </w:rPr>
        <w:t>festivais</w:t>
      </w:r>
      <w:r>
        <w:rPr>
          <w:rFonts w:ascii="Arial" w:eastAsia="Arial" w:hAnsi="Arial" w:cs="Arial"/>
          <w:sz w:val="24"/>
          <w:szCs w:val="24"/>
        </w:rPr>
        <w:t xml:space="preserve"> de artes e shows;</w:t>
      </w:r>
    </w:p>
    <w:p w:rsidR="00FE539C" w14:paraId="40218AE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 – restaurantes e similares;</w:t>
      </w:r>
    </w:p>
    <w:p w:rsidR="00FE539C" w14:paraId="61DA123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 – hotéis e hospedarias;</w:t>
      </w:r>
    </w:p>
    <w:p w:rsidR="00FE539C" w14:paraId="05F9831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VII - Demais estabelecimentos de lazer ou estabelecimentos semelhantes.</w:t>
      </w:r>
    </w:p>
    <w:p w:rsidR="00FE539C" w14:paraId="50273BF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§1º Outros estabelecimentos poderão aderir ao protocolo de segurança de que trata esta Lei, mediante adoção voluntária dos procedimentos previstos nos artigos 3º e 4º.</w:t>
      </w:r>
    </w:p>
    <w:p w:rsidR="00FE539C" w14:paraId="0C350D9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§2º O órgão competente do Poder Executivo Municipal poderá instituir selo de certificação acerca do cumprimento da Lei “Não se calem”, que designará o compromisso social do empreendimento com o combate à cultura do estupro, o assédio sexual e demais formas de violência contra as mulheres.</w:t>
      </w:r>
    </w:p>
    <w:p w:rsidR="00FE539C" w14:paraId="6A57019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E539C" w14:paraId="26E3FBD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3º O Protocolo de Segurança de que trata esta Lei observará as seguintes diretrizes:</w:t>
      </w:r>
    </w:p>
    <w:p w:rsidR="00FE539C" w14:paraId="1341D4C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E539C" w14:paraId="5F8CB66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– Colaboração entre estabelecimento de lazer e o Poder Público para o atendimento prioritário e imediato à vítima, incluindo apoio técnico do Poder Público para capacitação e treinamento através do setor competente;</w:t>
      </w:r>
    </w:p>
    <w:p w:rsidR="00FE539C" w14:paraId="343F4F2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E539C" w14:paraId="7BCCB06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 – Acesso, pela vítima, a informações quanto aos seus direitos e canais de denúncia para casos de situações de risco ou de violência sexual;</w:t>
      </w:r>
    </w:p>
    <w:p w:rsidR="00FE539C" w14:paraId="76978D4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E539C" w14:paraId="2F14737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 – Respeito à dignidade, à privacidade e à autonomia de vontade da vítima;</w:t>
      </w:r>
    </w:p>
    <w:p w:rsidR="00FE539C" w14:paraId="3E9DF0B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E539C" w14:paraId="4C27C86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 – Defesa dos direitos da mulher consumidora;</w:t>
      </w:r>
    </w:p>
    <w:p w:rsidR="00FE539C" w14:paraId="2D4045A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E539C" w14:paraId="15BBF108" w14:textId="2314AAF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4º O protocolo de segurança contemplará as seguintes ações de proteção </w:t>
      </w:r>
      <w:r w:rsidR="00DC07A0">
        <w:rPr>
          <w:rFonts w:ascii="Arial" w:eastAsia="Arial" w:hAnsi="Arial" w:cs="Arial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>s potenciais vítimas</w:t>
      </w:r>
      <w:r>
        <w:rPr>
          <w:rFonts w:ascii="Arial" w:eastAsia="Arial" w:hAnsi="Arial" w:cs="Arial"/>
          <w:sz w:val="24"/>
          <w:szCs w:val="24"/>
        </w:rPr>
        <w:t xml:space="preserve"> de situações de risco ou violência sexual em espaços públicos ou privados de lazer nas dependências de seus estabelecimentos:</w:t>
      </w:r>
    </w:p>
    <w:p w:rsidR="00FE539C" w14:paraId="661A749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E539C" w14:paraId="6C4D1D11" w14:textId="72E0CF7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– Toda a equipe de funcionários e de ocupantes de cargos administrativos ou de gerência passará por treinamento específico anual sobre identificação de situações potencialmente de risco e de acolhimento </w:t>
      </w:r>
      <w:r>
        <w:rPr>
          <w:rFonts w:ascii="Arial" w:eastAsia="Arial" w:hAnsi="Arial" w:cs="Arial"/>
          <w:sz w:val="24"/>
          <w:szCs w:val="24"/>
        </w:rPr>
        <w:t>as potenciais vítimas</w:t>
      </w:r>
      <w:r w:rsidR="00DC07A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 violência;</w:t>
      </w:r>
    </w:p>
    <w:p w:rsidR="00FE539C" w14:paraId="65610FC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E539C" w14:paraId="57A6659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 – O estabelecimento disporá de pessoa responsável por receber potencial vítima de violência que deverá dispensar-lhe atenção prioritária e imediata desde a identificação ou denúncia do ocorrido até o efetivo deslocamento para delegacias especializadas ou atendimento médico;</w:t>
      </w:r>
    </w:p>
    <w:p w:rsidR="00FE539C" w14:paraId="2594ED3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E539C" w14:paraId="5D5DEF4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 – O responsável indicado pelo estabelecimento deverá ouvir e respeitar as decisões da pessoa agredida, prestar-lhe as informações corretas sobre seus direitos, bem como as orientações sobre os passos a serem adotados para a adequada apuração dos fatos e responsabilização do agressor;</w:t>
      </w:r>
    </w:p>
    <w:p w:rsidR="00FE539C" w14:paraId="77B1B13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III- É obrigatória a seleção de espaço físico reservado para o acolhimento imediato de potenciais vítimas de situações de risco ou violência sexual;</w:t>
      </w:r>
    </w:p>
    <w:p w:rsidR="00FE539C" w14:paraId="76E861D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IV- É obrigatória a implantação de vigilância especial em áreas de baixa iluminação, isolamento ou qualquer outra condição física que torne o espaço confinado, isolado ou que facilite a vulnerabilidade física do usuário;</w:t>
      </w:r>
    </w:p>
    <w:p w:rsidR="00FE539C" w14:paraId="4BFDA33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V- É obrigatório o acionamento imediato das autoridades policiais e de proteção da mulher;</w:t>
      </w:r>
    </w:p>
    <w:p w:rsidR="00FE539C" w14:paraId="5C6B141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 – Devem ser preservadas todas as evidências que possam ser utilizadas pela autoridade policial para a investigação das alegações </w:t>
      </w:r>
      <w:r>
        <w:rPr>
          <w:rFonts w:ascii="Arial" w:eastAsia="Arial" w:hAnsi="Arial" w:cs="Arial"/>
          <w:sz w:val="24"/>
          <w:szCs w:val="24"/>
        </w:rPr>
        <w:t>da potencial vítima</w:t>
      </w:r>
      <w:r>
        <w:rPr>
          <w:rFonts w:ascii="Arial" w:eastAsia="Arial" w:hAnsi="Arial" w:cs="Arial"/>
          <w:sz w:val="24"/>
          <w:szCs w:val="24"/>
        </w:rPr>
        <w:t>, como, mas não se limitando a: imagens de câmeras de segurança, lista de nomes das pessoas que estavam no local dos fatos alegados, isolamento da área dos fatos para posterior perícia forense e identificação de possíveis testemunhas;</w:t>
      </w:r>
    </w:p>
    <w:p w:rsidR="00FE539C" w14:paraId="12EE055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VII - Todas as ações de proteção e encaminhamento de denúncias às</w:t>
      </w:r>
    </w:p>
    <w:p w:rsidR="00FE539C" w14:paraId="50502F7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autoridades responsáveis deverão ocorrer em máxima discrição para a proteção da</w:t>
      </w:r>
    </w:p>
    <w:p w:rsidR="00FE539C" w14:paraId="2F3A36B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integridade física e moral </w:t>
      </w:r>
      <w:r>
        <w:rPr>
          <w:rFonts w:ascii="Arial" w:eastAsia="Arial" w:hAnsi="Arial" w:cs="Arial"/>
          <w:sz w:val="24"/>
          <w:szCs w:val="24"/>
        </w:rPr>
        <w:t>da potencial vítima</w:t>
      </w:r>
      <w:r>
        <w:rPr>
          <w:rFonts w:ascii="Arial" w:eastAsia="Arial" w:hAnsi="Arial" w:cs="Arial"/>
          <w:sz w:val="24"/>
          <w:szCs w:val="24"/>
        </w:rPr>
        <w:t>. o responsável e os demais funcionários</w:t>
      </w:r>
    </w:p>
    <w:p w:rsidR="00FE539C" w14:paraId="675294D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envolvidos atuarão de modo a evitar a reprodução de outras violências contra a </w:t>
      </w:r>
      <w:r>
        <w:rPr>
          <w:rFonts w:ascii="Arial" w:eastAsia="Arial" w:hAnsi="Arial" w:cs="Arial"/>
          <w:sz w:val="24"/>
          <w:szCs w:val="24"/>
        </w:rPr>
        <w:t>mulher,  definidas</w:t>
      </w:r>
      <w:r>
        <w:rPr>
          <w:rFonts w:ascii="Arial" w:eastAsia="Arial" w:hAnsi="Arial" w:cs="Arial"/>
          <w:sz w:val="24"/>
          <w:szCs w:val="24"/>
        </w:rPr>
        <w:t xml:space="preserve"> no §1º do Art. 1º da Lei nº 10.778, de 24 de novembro de 2003.</w:t>
      </w:r>
    </w:p>
    <w:p w:rsidR="00FE539C" w14:paraId="66253EC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E539C" w14:paraId="3DE5E1A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5º É obrigatória a produção e a fixação de cartaz com o protocolo de prevenção, conscientização e tratamento sobre situações de risco ou de violência sexual.</w:t>
      </w:r>
    </w:p>
    <w:p w:rsidR="00FE539C" w14:paraId="370EDEE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E539C" w14:paraId="508AC4FF" w14:textId="230BB31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6º No caso de pessoa </w:t>
      </w:r>
      <w:r w:rsidR="00DC07A0"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om evidentes sinais de total ou parcial incapacidade de entendimento, o estabelecimento deverá impedir sua saída com outras pessoas não identificadas.</w:t>
      </w:r>
    </w:p>
    <w:p w:rsidR="00FE539C" w14:paraId="76B44C7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E539C" w14:paraId="7DE7602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1º: A pessoa que se encontra nessas condições e seu(s) acompanhante(s) deverão:</w:t>
      </w:r>
    </w:p>
    <w:p w:rsidR="00FE539C" w14:paraId="3060A50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E539C" w14:paraId="06A847A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 apresentar documento de identificação com foto; e</w:t>
      </w:r>
    </w:p>
    <w:p w:rsidR="00FE539C" w14:paraId="00D09A8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b) se submeter ao registro e arquivamento fotográfico de seu rosto e dos documentos de identificação.</w:t>
      </w:r>
    </w:p>
    <w:p w:rsidR="00FE539C" w14:paraId="5DC5A30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E539C" w14:paraId="2D6FDDED" w14:textId="32864A2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§2º: No caso</w:t>
      </w:r>
      <w:r w:rsidR="00DC07A0">
        <w:rPr>
          <w:rFonts w:ascii="Arial" w:eastAsia="Arial" w:hAnsi="Arial" w:cs="Arial"/>
          <w:sz w:val="24"/>
          <w:szCs w:val="24"/>
        </w:rPr>
        <w:t xml:space="preserve"> de </w:t>
      </w:r>
      <w:r w:rsidR="00DC07A0">
        <w:rPr>
          <w:rFonts w:ascii="Arial" w:eastAsia="Arial" w:hAnsi="Arial" w:cs="Arial"/>
          <w:sz w:val="24"/>
          <w:szCs w:val="24"/>
        </w:rPr>
        <w:t>pessoa desacordada ou com evidentes sinais de total ou parcial incapacidade de entendimento</w:t>
      </w:r>
      <w:r w:rsidR="00DC07A0">
        <w:rPr>
          <w:rFonts w:ascii="Arial" w:eastAsia="Arial" w:hAnsi="Arial" w:cs="Arial"/>
          <w:sz w:val="24"/>
          <w:szCs w:val="24"/>
        </w:rPr>
        <w:t xml:space="preserve"> ou caso haja</w:t>
      </w:r>
      <w:r>
        <w:rPr>
          <w:rFonts w:ascii="Arial" w:eastAsia="Arial" w:hAnsi="Arial" w:cs="Arial"/>
          <w:sz w:val="24"/>
          <w:szCs w:val="24"/>
        </w:rPr>
        <w:t xml:space="preserve"> negativa em apresentar documento de identificação ou de se submeter ao registro fotográfico, o estabelecimento acionar as autoridades policiais.</w:t>
      </w:r>
    </w:p>
    <w:p w:rsidR="00FE539C" w14:paraId="37A1A0C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E539C" w14:paraId="4EA2787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7º O descumprimento das disposições previstas no art. 4º desta Lei, sujeitará o estabelecimento às sanções previstas no artigo 56 da Lei federal nº 8.078, de 11 de setembro de 1990 - Código de Defesa do Consumidor, aplicáveis na forma de seus</w:t>
      </w:r>
    </w:p>
    <w:p w:rsidR="00FE539C" w14:paraId="49F45C9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artigos 57 a 60.</w:t>
      </w:r>
    </w:p>
    <w:p w:rsidR="00FE539C" w14:paraId="3E904A1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E539C" w14:paraId="40775AA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8º Esta lei entra em vigor na data de sua publicação</w:t>
      </w:r>
    </w:p>
    <w:p w:rsidR="00FE539C" w14:paraId="3DDC9925" w14:textId="77777777">
      <w:pPr>
        <w:rPr>
          <w:rFonts w:ascii="Arial" w:eastAsia="Arial" w:hAnsi="Arial" w:cs="Arial"/>
          <w:sz w:val="24"/>
          <w:szCs w:val="24"/>
        </w:rPr>
      </w:pPr>
      <w:bookmarkStart w:id="2" w:name="_heading=h.ut25nh8ag6ms" w:colFirst="0" w:colLast="0"/>
      <w:bookmarkEnd w:id="2"/>
    </w:p>
    <w:p w:rsidR="00FE539C" w14:paraId="52EC054B" w14:textId="77777777">
      <w:pPr>
        <w:rPr>
          <w:rFonts w:ascii="Arial" w:eastAsia="Arial" w:hAnsi="Arial" w:cs="Arial"/>
          <w:sz w:val="24"/>
          <w:szCs w:val="24"/>
        </w:rPr>
      </w:pPr>
      <w:bookmarkStart w:id="3" w:name="_heading=h.gflxtw41zje3" w:colFirst="0" w:colLast="0"/>
      <w:bookmarkEnd w:id="3"/>
      <w:r>
        <w:rPr>
          <w:rFonts w:ascii="Arial" w:eastAsia="Arial" w:hAnsi="Arial" w:cs="Arial"/>
          <w:sz w:val="24"/>
          <w:szCs w:val="24"/>
        </w:rPr>
        <w:t>…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FE539C" w14:paraId="4393FAD1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E539C" w14:paraId="1F0A0556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E539C" w14:paraId="5E7B6CD0" w14:textId="01C40759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DC07A0">
        <w:rPr>
          <w:rFonts w:ascii="Arial" w:eastAsia="Arial" w:hAnsi="Arial" w:cs="Arial"/>
          <w:sz w:val="24"/>
          <w:szCs w:val="24"/>
        </w:rPr>
        <w:t>15 de janeiro de 2025</w:t>
      </w:r>
      <w:r>
        <w:rPr>
          <w:rFonts w:ascii="Arial" w:eastAsia="Arial" w:hAnsi="Arial" w:cs="Arial"/>
          <w:sz w:val="24"/>
          <w:szCs w:val="24"/>
        </w:rPr>
        <w:t>.</w:t>
      </w:r>
    </w:p>
    <w:p w:rsidR="00FE539C" w14:paraId="400A46B9" w14:textId="77777777">
      <w:pPr>
        <w:rPr>
          <w:rFonts w:ascii="Arial" w:eastAsia="Arial" w:hAnsi="Arial" w:cs="Arial"/>
          <w:sz w:val="24"/>
          <w:szCs w:val="24"/>
        </w:rPr>
      </w:pPr>
    </w:p>
    <w:p w:rsidR="00FE539C" w14:paraId="6547F4E8" w14:textId="51DB98DE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DA6039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2096858382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46319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39C" w14:paraId="148B4FFC" w14:textId="77777777"/>
    <w:p w:rsidR="00FE539C" w14:paraId="3F883902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39C" w14:paraId="67FFDFFC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39C" w14:paraId="5E40B3B7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39C" w14:paraId="733B6645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39C" w14:paraId="48CF4965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39C" w14:paraId="533F89EC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39C" w14:paraId="479B0198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39C" w14:paraId="2098FC69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39C" w14:paraId="281819F8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39C" w14:paraId="3FA9000F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39C" w14:paraId="5174056E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39C" w14:paraId="6B013FD3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39C" w14:paraId="29FA6CF4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39C" w14:paraId="07328451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39C" w14:paraId="380AC954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39C" w14:paraId="10DA744F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FE539C" w14:paraId="27ACB78B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FE539C" w14:paraId="280A15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539C" w14:paraId="25F53B8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539C" w14:paraId="4BF9F3D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539C" w14:paraId="4F0BC58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:rsidR="00FE539C" w14:paraId="11A6EBF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E539C" w14:paraId="4BB76DF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Este Projeto de Lei incorpora diversas leis de direitos das mulheres, </w:t>
      </w:r>
      <w:r>
        <w:rPr>
          <w:rFonts w:ascii="Arial" w:eastAsia="Arial" w:hAnsi="Arial" w:cs="Arial"/>
          <w:sz w:val="24"/>
          <w:szCs w:val="24"/>
        </w:rPr>
        <w:t>que  fazem</w:t>
      </w:r>
      <w:r>
        <w:rPr>
          <w:rFonts w:ascii="Arial" w:eastAsia="Arial" w:hAnsi="Arial" w:cs="Arial"/>
          <w:sz w:val="24"/>
          <w:szCs w:val="24"/>
        </w:rPr>
        <w:t xml:space="preserve"> parte do longo caminho de transformação social já percorrido e da constante busca pela igualdade de gênero.</w:t>
      </w:r>
    </w:p>
    <w:p w:rsidR="00FE539C" w14:paraId="5701C97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O objetivo de formular regras para a criação de um protocolo de segurança à mulher, permanece coexistindo com as demais leis vigentes, uma vez que agrega como ferramenta normativa de conscientização dos indivíduos nos espaços de lazer e sociabilidade. </w:t>
      </w:r>
    </w:p>
    <w:p w:rsidR="00FE539C" w14:paraId="7A9B7B7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Busca legitimamente implementar nas relações institucionais a cultura de proteção à mulher, seja em bares, restaurantes e congêneres que esta legislação vigorará para garantir o acolhimento e proteção da mulher.</w:t>
      </w:r>
    </w:p>
    <w:p w:rsidR="00FE539C" w14:paraId="39DBF01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proposta tem, ainda, como eixos, a prevenção para a diminuição dos casos de assédio e violência sexual como a instalação de canais de denúncia, preparação e treinamento de equipe especializada no trato dessa temática, vigilância especial em áreas inseguras, o acolhimento das vítimas, e o princípio da agilidade e da cooperação no trabalho investigativo, e de coleta de dados e de provas solicitados pela autoridade policial.</w:t>
      </w:r>
    </w:p>
    <w:p w:rsidR="00FE539C" w14:paraId="4595E82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 a presente propositura, o Município de Sumaré demonstra seu compromisso com a proteção às mulheres e a importância do respeito e respaldo à sua integridade, independente do espaço em que estejam.</w:t>
      </w:r>
    </w:p>
    <w:p w:rsidR="00FE539C" w14:paraId="22F75B6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FE539C" w14:paraId="0679A22F" w14:textId="7777777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FE539C" w14:paraId="034FA7EA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E539C" w14:paraId="21E97063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E539C" w14:paraId="1389382C" w14:textId="680EA496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DC07A0">
        <w:rPr>
          <w:rFonts w:ascii="Arial" w:eastAsia="Arial" w:hAnsi="Arial" w:cs="Arial"/>
          <w:sz w:val="24"/>
          <w:szCs w:val="24"/>
        </w:rPr>
        <w:t>15 de janeiro de 2025</w:t>
      </w:r>
    </w:p>
    <w:p w:rsidR="00FE539C" w14:paraId="123CAEED" w14:textId="1ACA051F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DA6039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795332898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38280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539C" w14:paraId="7F985F7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3znysh7" w:colFirst="0" w:colLast="0"/>
  <w:bookmarkEnd w:id="4"/>
  <w:p w:rsidR="00FE539C" w14:paraId="2164F0F4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Conector de Seta Reta 15279619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4709712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971485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FE539C" w14:paraId="387C96CF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539C" w14:paraId="3B0161C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539C" w14:paraId="459F601F" w14:textId="7CE9D12D">
    <w:r>
      <w:rPr>
        <w:noProof/>
      </w:rPr>
      <w:drawing>
        <wp:inline distT="0" distB="0" distL="0" distR="0">
          <wp:extent cx="1526058" cy="534121"/>
          <wp:effectExtent l="0" t="0" r="0" b="0"/>
          <wp:docPr id="15279619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121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Agrupar 15279619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517833171" name="Agrupar 151783317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E539C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584674221" name="Agrupar 1584674221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E539C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39292748" name="Agrupar 39292748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E539C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78917731" name="Agrupar 778917731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E539C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32" o:spid="_x0000_s2049" style="width:595.1pt;height:808.7pt;margin-top:0;margin-left:-65pt;mso-wrap-distance-left:0;mso-wrap-distance-right:0;position:absolute;z-index:-251656192" coordorigin="15671,0" coordsize="75577,75600">
              <v:group id="Agrupar 1517833171" o:spid="_x0000_s2050" style="width:75577;height:75600;left:15671;position:absolute" coordorigin="15671,0" coordsize="75577,75600">
                <v:rect id="Shape 4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FE539C" w14:paraId="722932BC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584674221" o:spid="_x0000_s2052" style="width:75577;height:75600;left:15671;position:absolute" coordorigin="15671,0" coordsize="75577,75600">
                  <v:rect id="Shape 6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FE539C" w14:paraId="6F0A87D0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39292748" o:spid="_x0000_s2054" style="width:75577;height:75600;left:15671;position:absolute" coordorigin="15671,0" coordsize="75577,75600">
                    <v:rect id="Shape 8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FE539C" w14:paraId="373626FD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78917731" o:spid="_x0000_s2056" style="width:75577;height:75600;left:15671;position:absolute" coordsize="75577,102703">
                      <v:rect id="Shape 10" o:spid="_x0000_s2057" style="width:75577;height:102703;mso-wrap-style:square;position:absolute;visibility:visible;v-text-anchor:middle" filled="f" stroked="f">
                        <v:textbox inset="7.2pt,7.2pt,7.2pt,7.2pt">
                          <w:txbxContent>
                            <w:p w:rsidR="00FE539C" w14:paraId="2FDFA0CD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Shape 11" o:spid="_x0000_s205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<v:path arrowok="t"/>
                      </v:shape>
                      <v:shape id="Shape 12" o:spid="_x0000_s205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<v:path arrowok="t"/>
                      </v:shape>
                      <v:shape id="Shape 13" o:spid="_x0000_s206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<v:path arrowok="t"/>
                      </v:shape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39C"/>
    <w:rsid w:val="002453DE"/>
    <w:rsid w:val="00614A44"/>
    <w:rsid w:val="00DA6039"/>
    <w:rsid w:val="00DC07A0"/>
    <w:rsid w:val="00FE53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219DDC5-85BE-4514-A8C8-BCEDD880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ul3TzaN9F8RygHkjX4jmwtgLCA==">CgMxLjAyCGguZ2pkZ3hzMg5oLmNjMmd4ZzJpczB6dzIOaC5qODI5c2UyOGN1MDkyDmgudXQyNW5oOGFnNm1zMg5oLmdmbHh0dzQxemplMzIJaC4zem55c2g3OAByITFwc292cGNWM0FUaWo0enZyNm9MTTBtNGR6SDdjMXQzWg==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1304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2025-01-15T19:13:00Z</dcterms:created>
  <dcterms:modified xsi:type="dcterms:W3CDTF">2025-01-15T19:13:00Z</dcterms:modified>
</cp:coreProperties>
</file>