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 no orçamento vigente no valor de R$ 25.229.702,00(vinte e cinco milhões, duzentos e vinte e nove mil e setecentos e dois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