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 o artigo 1º da Lei Municipal nº 5996, de 06 de novembro de 2017.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