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Aurélio Menuzzo,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51242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9283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641070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120128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06201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016373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9738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