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no orçamento vigente no valor de R$ 450.000,00 (quatrocentos e cinquenta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