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roibição da permanência de animais desacompanhados no interior de veículos automotore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