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Fagundes de Moura,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568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911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90387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06032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8296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19764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1054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