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33AF495F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8/2024</w:t>
      </w: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Pr="00993A27">
        <w:rPr>
          <w:rFonts w:ascii="Bookman Old Style" w:hAnsi="Bookman Old Style" w:eastAsiaTheme="minorHAnsi" w:cstheme="minorBidi"/>
          <w:sz w:val="22"/>
          <w:szCs w:val="22"/>
          <w:lang w:eastAsia="en-US"/>
        </w:rPr>
        <w:t>ULISSES GOMES</w:t>
      </w:r>
      <w:r>
        <w:rPr>
          <w:rFonts w:ascii="Bookman Old Style" w:hAnsi="Bookman Old Style"/>
        </w:rPr>
        <w:t xml:space="preserve"> – </w:t>
      </w:r>
      <w:r w:rsidRPr="00993A27">
        <w:rPr>
          <w:rFonts w:ascii="Bookman Old Style" w:hAnsi="Bookman Old Style"/>
        </w:rPr>
        <w:t>“Confere o título de Cidadão Sumareense a Alexandre Tortorella Mandl”</w:t>
      </w:r>
      <w:r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211A92E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1064B6">
        <w:rPr>
          <w:rFonts w:ascii="Bookman Old Style" w:hAnsi="Bookman Old Style"/>
          <w:b/>
        </w:rPr>
        <w:t>FAVORÁVEL</w:t>
      </w:r>
      <w:r w:rsidRPr="001064B6" w:rsidR="001064B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6 de novembro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7A0FCA6B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RODRIGO DORIVAL GOMES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ANDRE DA FARMACIA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 DA LUZ</w:t>
      </w:r>
    </w:p>
    <w:p w:rsidR="00982785" w:rsidP="00982785" w14:paraId="361B12F5" w14:textId="6FA19A3C">
      <w:pPr>
        <w:ind w:left="2832" w:firstLine="708"/>
      </w:pPr>
      <w:r>
        <w:rPr>
          <w:rFonts w:ascii="Bookman Old Style" w:hAnsi="Bookman Old Style"/>
          <w:b/>
        </w:rPr>
        <w:t xml:space="preserve"> 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3173"/>
    <w:rsid w:val="000D19E5"/>
    <w:rsid w:val="000D2BDC"/>
    <w:rsid w:val="00104AAA"/>
    <w:rsid w:val="001064B6"/>
    <w:rsid w:val="0015657E"/>
    <w:rsid w:val="00156CF8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A27"/>
    <w:rsid w:val="00993DA7"/>
    <w:rsid w:val="00A06CF2"/>
    <w:rsid w:val="00AE6AEE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2023-03-03T14:25:00Z</dcterms:created>
  <dcterms:modified xsi:type="dcterms:W3CDTF">2023-03-03T15:30:00Z</dcterms:modified>
</cp:coreProperties>
</file>