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850527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704BFC" w:rsidR="00704BFC">
        <w:rPr>
          <w:color w:val="000000"/>
          <w:sz w:val="22"/>
          <w:szCs w:val="22"/>
        </w:rPr>
        <w:t>Sinalização do sentido da Rua Alice Maria Alves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B0A903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57316" w:rsidR="00C57316">
        <w:t>que seja feita sinalização do sentido de tráfego da Rua Alice Maria Alves, situada no bairro Jardim São Francisco, no sentido da Anhanguera</w:t>
      </w:r>
      <w:r w:rsidR="00487464">
        <w:rPr>
          <w:color w:val="000000"/>
        </w:rPr>
        <w:t>.</w:t>
      </w:r>
    </w:p>
    <w:p w:rsidR="004E3618" w:rsidP="002E6A75" w14:paraId="3AF5BD88" w14:textId="0F18E390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C57316">
        <w:rPr>
          <w:color w:val="000000"/>
        </w:rPr>
        <w:t>Essa reivindicação se faz necessária pois a falta de sinalização tem gerado dúvidas nos motoristas, os quais frequentemente trafegam em sentido incorreto. Dessa forma, de modo a evitar riscos desnecessário, é urgente e necessária uma melhor sinalização da via mencionada</w:t>
      </w:r>
      <w:bookmarkStart w:id="3" w:name="_GoBack"/>
      <w:bookmarkEnd w:id="3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C3BE39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04BFC">
        <w:rPr>
          <w:rFonts w:ascii="Times New Roman" w:hAnsi="Times New Roman" w:cs="Times New Roman"/>
        </w:rPr>
        <w:t>12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7026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57316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4219-D2B4-490E-AE12-A0A3833F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2024-11-11T11:58:00Z</dcterms:created>
  <dcterms:modified xsi:type="dcterms:W3CDTF">2024-11-11T12:27:00Z</dcterms:modified>
</cp:coreProperties>
</file>