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D40704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DD6779">
        <w:rPr>
          <w:rFonts w:ascii="Arial" w:hAnsi="Arial" w:cs="Arial"/>
          <w:sz w:val="28"/>
          <w:szCs w:val="28"/>
        </w:rPr>
        <w:t xml:space="preserve">pulverização com fumasse na Rua Da Gloria, Rua Daniela Keiko Tagima, Rua Pepina Ongaro e Rua Moises </w:t>
      </w:r>
      <w:r w:rsidR="00DD6779">
        <w:rPr>
          <w:rFonts w:ascii="Arial" w:hAnsi="Arial" w:cs="Arial"/>
          <w:sz w:val="28"/>
          <w:szCs w:val="28"/>
        </w:rPr>
        <w:t>Antonio</w:t>
      </w:r>
      <w:r w:rsidR="00DD6779">
        <w:rPr>
          <w:rFonts w:ascii="Arial" w:hAnsi="Arial" w:cs="Arial"/>
          <w:sz w:val="28"/>
          <w:szCs w:val="28"/>
        </w:rPr>
        <w:t xml:space="preserve"> nos Bairros Bordon I e II.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9C453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927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32585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D6779"/>
    <w:rsid w:val="00E40B0E"/>
    <w:rsid w:val="00E57C77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2024-10-14T13:50:00Z</dcterms:created>
  <dcterms:modified xsi:type="dcterms:W3CDTF">2024-10-14T13:50:00Z</dcterms:modified>
</cp:coreProperties>
</file>