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FABA8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9A1895" w:rsidR="009A1895">
        <w:rPr>
          <w:rFonts w:ascii="Tahoma" w:hAnsi="Tahoma" w:cs="Tahoma"/>
          <w:b/>
          <w:sz w:val="24"/>
          <w:szCs w:val="24"/>
        </w:rPr>
        <w:t>Rua Vinícius de Moraes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A1895">
        <w:rPr>
          <w:rFonts w:ascii="Tahoma" w:hAnsi="Tahoma" w:cs="Tahoma"/>
          <w:bCs/>
          <w:sz w:val="24"/>
          <w:szCs w:val="24"/>
        </w:rPr>
        <w:t>795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A1895" w:rsidR="009A1895">
        <w:rPr>
          <w:rFonts w:ascii="Tahoma" w:hAnsi="Tahoma" w:cs="Tahoma"/>
          <w:b/>
          <w:sz w:val="24"/>
          <w:szCs w:val="24"/>
        </w:rPr>
        <w:t>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767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07AC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C14F3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B0790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240AC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1895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126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2024-09-09T16:47:00Z</dcterms:created>
  <dcterms:modified xsi:type="dcterms:W3CDTF">2024-09-09T16:47:00Z</dcterms:modified>
</cp:coreProperties>
</file>