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3 de setembro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145/2024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145/2024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Autoriza a criação do Centro Municipal de Referência do Autismo no Município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