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e suplementar no orçamento vigente no valor de R$ 1.847.687,98 (um milhão, oitocentos e quarenta e sete mil, seiscentos e oitenta e sete reais e noventa e oito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