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D1C" w:rsidRDefault="00474D1C" w:rsidP="00474D1C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336539734" w:edGrp="everyone"/>
    </w:p>
    <w:p w:rsidR="00474D1C" w:rsidRDefault="00474D1C" w:rsidP="00474D1C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RDefault="00474D1C" w:rsidP="00474D1C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RDefault="00F7457D" w:rsidP="00474D1C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RDefault="00BB7B2C" w:rsidP="00474D1C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RDefault="00F7457D" w:rsidP="00474D1C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RDefault="00BB7B2C" w:rsidP="00474D1C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RDefault="00F7457D" w:rsidP="00474D1C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RDefault="00BB7B2C" w:rsidP="00474D1C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RDefault="00474D1C" w:rsidP="00474D1C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4"/>
      </w:tblGrid>
      <w:tr w:rsidR="00BA230C" w:rsidTr="00D064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RDefault="00F7457D" w:rsidP="00BB7B2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139/2024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0" w:name="_Hlk127976793"/>
            <w:r>
              <w:rPr>
                <w:rFonts w:ascii="Bookman Old Style" w:hAnsi="Bookman Old Style"/>
                <w:lang w:eastAsia="en-US"/>
              </w:rPr>
              <w:t>– Autoria: LUIZ ALFREDO CASTRO RUZZA DALBEN – Denomina o Sistema de Lazer nº 3, do loteamento denominado Residencial Portal Bordon II de Praça Francisco Belo da Silva.</w:t>
            </w:r>
            <w:bookmarkEnd w:id="0"/>
          </w:p>
          <w:p w:rsidR="00474D1C" w:rsidRDefault="00474D1C" w:rsidP="00D06470"/>
        </w:tc>
      </w:tr>
    </w:tbl>
    <w:p w:rsidR="00474D1C" w:rsidRDefault="00474D1C" w:rsidP="00474D1C">
      <w:pPr>
        <w:jc w:val="both"/>
        <w:rPr>
          <w:rFonts w:ascii="Bookman Old Style" w:hAnsi="Bookman Old Style"/>
          <w:color w:val="000000"/>
        </w:rPr>
      </w:pPr>
    </w:p>
    <w:p w:rsidR="00474D1C" w:rsidRDefault="00474D1C" w:rsidP="00474D1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RDefault="00F7457D" w:rsidP="00474D1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="00E60087" w:rsidRPr="00E60087">
        <w:rPr>
          <w:rFonts w:ascii="Bookman Old Style" w:hAnsi="Bookman Old Style"/>
          <w:b/>
        </w:rPr>
        <w:t>.</w:t>
      </w:r>
    </w:p>
    <w:p w:rsidR="00474D1C" w:rsidRDefault="00474D1C" w:rsidP="00474D1C">
      <w:pPr>
        <w:rPr>
          <w:rFonts w:ascii="Bookman Old Style" w:hAnsi="Bookman Old Style"/>
          <w:color w:val="000000"/>
        </w:rPr>
      </w:pPr>
    </w:p>
    <w:p w:rsidR="00474D1C" w:rsidRDefault="00474D1C" w:rsidP="00474D1C">
      <w:pPr>
        <w:rPr>
          <w:rFonts w:ascii="Bookman Old Style" w:hAnsi="Bookman Old Style"/>
          <w:color w:val="000000"/>
        </w:rPr>
      </w:pPr>
    </w:p>
    <w:p w:rsidR="00474D1C" w:rsidRDefault="00F7457D" w:rsidP="00474D1C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 w:rsidR="00B71F2F">
        <w:rPr>
          <w:rFonts w:ascii="Bookman Old Style" w:hAnsi="Bookman Old Style"/>
          <w:color w:val="000000"/>
        </w:rPr>
        <w:t>10 de setembro</w:t>
      </w:r>
      <w:bookmarkStart w:id="1" w:name="_GoBack"/>
      <w:bookmarkEnd w:id="1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de</w:t>
      </w:r>
      <w:proofErr w:type="spellEnd"/>
      <w:r>
        <w:rPr>
          <w:rFonts w:ascii="Bookman Old Style" w:hAnsi="Bookman Old Style"/>
          <w:color w:val="000000"/>
        </w:rPr>
        <w:t xml:space="preserve"> 2024</w:t>
      </w:r>
    </w:p>
    <w:p w:rsidR="00474D1C" w:rsidRDefault="00474D1C" w:rsidP="00474D1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RDefault="00474D1C" w:rsidP="00474D1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RDefault="00474D1C" w:rsidP="00474D1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RDefault="00F7457D" w:rsidP="00474D1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RDefault="00F7457D" w:rsidP="00474D1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RDefault="00474D1C" w:rsidP="00474D1C">
      <w:pPr>
        <w:jc w:val="center"/>
        <w:rPr>
          <w:rFonts w:ascii="Bookman Old Style" w:hAnsi="Bookman Old Style"/>
          <w:b/>
        </w:rPr>
      </w:pPr>
    </w:p>
    <w:p w:rsidR="00474D1C" w:rsidRDefault="00474D1C" w:rsidP="00474D1C">
      <w:pPr>
        <w:jc w:val="center"/>
        <w:rPr>
          <w:rFonts w:ascii="Bookman Old Style" w:hAnsi="Bookman Old Style"/>
          <w:b/>
        </w:rPr>
      </w:pPr>
    </w:p>
    <w:p w:rsidR="00474D1C" w:rsidRDefault="00474D1C" w:rsidP="00474D1C">
      <w:pPr>
        <w:jc w:val="center"/>
        <w:rPr>
          <w:rFonts w:ascii="Bookman Old Style" w:hAnsi="Bookman Old Style"/>
          <w:b/>
        </w:rPr>
      </w:pPr>
    </w:p>
    <w:p w:rsidR="00474D1C" w:rsidRDefault="00474D1C" w:rsidP="00474D1C">
      <w:pPr>
        <w:jc w:val="center"/>
        <w:rPr>
          <w:rFonts w:ascii="Bookman Old Style" w:hAnsi="Bookman Old Style"/>
          <w:b/>
        </w:rPr>
      </w:pPr>
    </w:p>
    <w:p w:rsidR="00474D1C" w:rsidRDefault="00F7457D" w:rsidP="00474D1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RDefault="00F7457D" w:rsidP="00474D1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RDefault="00474D1C" w:rsidP="00474D1C">
      <w:pPr>
        <w:jc w:val="center"/>
        <w:rPr>
          <w:rFonts w:ascii="Bookman Old Style" w:hAnsi="Bookman Old Style"/>
          <w:b/>
        </w:rPr>
      </w:pPr>
    </w:p>
    <w:p w:rsidR="00474D1C" w:rsidRDefault="00474D1C" w:rsidP="00474D1C">
      <w:pPr>
        <w:jc w:val="center"/>
        <w:rPr>
          <w:rFonts w:ascii="Bookman Old Style" w:hAnsi="Bookman Old Style"/>
          <w:b/>
        </w:rPr>
      </w:pPr>
    </w:p>
    <w:p w:rsidR="00474D1C" w:rsidRDefault="00474D1C" w:rsidP="00474D1C">
      <w:pPr>
        <w:jc w:val="center"/>
        <w:rPr>
          <w:rFonts w:ascii="Bookman Old Style" w:hAnsi="Bookman Old Style"/>
          <w:b/>
        </w:rPr>
      </w:pPr>
    </w:p>
    <w:p w:rsidR="00474D1C" w:rsidRDefault="00474D1C" w:rsidP="00474D1C">
      <w:pPr>
        <w:jc w:val="center"/>
        <w:rPr>
          <w:rFonts w:ascii="Bookman Old Style" w:hAnsi="Bookman Old Style"/>
          <w:b/>
        </w:rPr>
      </w:pPr>
    </w:p>
    <w:p w:rsidR="00474D1C" w:rsidRDefault="00F7457D" w:rsidP="00474D1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RDefault="00F7457D" w:rsidP="00474D1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336539734"/>
    <w:p w:rsidR="006D1E9A" w:rsidRPr="00474D1C" w:rsidRDefault="006D1E9A" w:rsidP="00474D1C"/>
    <w:sectPr w:rsidR="006D1E9A" w:rsidRPr="00474D1C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57D" w:rsidRDefault="00F7457D">
      <w:r>
        <w:separator/>
      </w:r>
    </w:p>
  </w:endnote>
  <w:endnote w:type="continuationSeparator" w:id="0">
    <w:p w:rsidR="00F7457D" w:rsidRDefault="00F7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" w:name="_Hlk65226898"/>
  <w:bookmarkStart w:id="3" w:name="_Hlk65226899"/>
  <w:p w:rsidR="00626437" w:rsidRPr="006D1E9A" w:rsidRDefault="00F7457D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F7457D" w:rsidP="006D1E9A">
    <w:r w:rsidRPr="006D1E9A">
      <w:t xml:space="preserve">TRAVESSA 1º CENTENÁRIO, 32, CENTRO, SUMARÉ - SP CEP 13170-031 | </w:t>
    </w:r>
    <w:r w:rsidRPr="006D1E9A">
      <w:t>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57D" w:rsidRDefault="00F7457D">
      <w:r>
        <w:separator/>
      </w:r>
    </w:p>
  </w:footnote>
  <w:footnote w:type="continuationSeparator" w:id="0">
    <w:p w:rsidR="00F7457D" w:rsidRDefault="00F74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F7457D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71F2F"/>
    <w:rsid w:val="00BA230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  <w:rsid w:val="00F7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8508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A5587-3F62-4990-ACDB-6AB63D5F3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9</cp:revision>
  <cp:lastPrinted>2021-02-25T18:05:00Z</cp:lastPrinted>
  <dcterms:created xsi:type="dcterms:W3CDTF">2023-03-03T14:27:00Z</dcterms:created>
  <dcterms:modified xsi:type="dcterms:W3CDTF">2024-09-10T12:15:00Z</dcterms:modified>
</cp:coreProperties>
</file>