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99F60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C3FDD" w:rsidR="001C3FDD">
        <w:rPr>
          <w:rFonts w:ascii="Tahoma" w:hAnsi="Tahoma" w:cs="Tahoma"/>
          <w:b/>
          <w:sz w:val="24"/>
          <w:szCs w:val="24"/>
        </w:rPr>
        <w:t>Rua Antônio Pereira de Camargo</w:t>
      </w:r>
      <w:r w:rsidRPr="001C3FDD" w:rsidR="001C3FDD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C3FDD">
        <w:rPr>
          <w:rFonts w:ascii="Tahoma" w:hAnsi="Tahoma" w:cs="Tahoma"/>
          <w:bCs/>
          <w:sz w:val="24"/>
          <w:szCs w:val="24"/>
        </w:rPr>
        <w:t>38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1C3FDD" w:rsidR="001C3FDD">
        <w:rPr>
          <w:rFonts w:ascii="Tahoma" w:hAnsi="Tahoma" w:cs="Tahoma"/>
          <w:b/>
          <w:sz w:val="24"/>
          <w:szCs w:val="24"/>
        </w:rPr>
        <w:t>Vila Santana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702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1995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C3FDD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664AC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62D79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2227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0B84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931C4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574CD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56C9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132"/>
    <w:rsid w:val="00DA772C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2024-08-22T17:43:00Z</dcterms:created>
  <dcterms:modified xsi:type="dcterms:W3CDTF">2024-08-22T17:43:00Z</dcterms:modified>
</cp:coreProperties>
</file>