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instituição do Programa de Incentivo à Prática de Danças nas Praças Municipais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