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parcialmente a tabela III do artigo 2º da Lei Municipal 4997, de 02 de junho de 2010, no que concerne aos cargos e empregos de Fisioterapia SMS e Fonoaudiólogo SMS.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julho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