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56/2023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LUCAS AGOSTINHO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- Dispõe sobre a obrigatoriedade da aquisição de Livros em formato Braile, Audiolivros e outros meios.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