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 xml:space="preserve">PROJETO DE LEI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INCLUI E ALTERA REDAÇÃO DE ARTIGO DA LEI N° 721, DE 26 DE ABRIL DE 1967 - CÓDIGO DE POSTURAS DO MUNICÍPIO DE SUMARÉ.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A">
      <w:pPr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1º </w:t>
      </w:r>
      <w:r w:rsidRPr="00000000">
        <w:rPr>
          <w:rFonts w:ascii="Arial" w:eastAsia="Arial" w:hAnsi="Arial" w:cs="Arial"/>
          <w:sz w:val="24"/>
          <w:szCs w:val="24"/>
          <w:rtl w:val="0"/>
        </w:rPr>
        <w:t>O Art. 16 da Lei N° 721, de 26 de abril de 1967 passa a ter a seguinte redação:</w:t>
      </w:r>
    </w:p>
    <w:p w:rsidR="00000000" w:rsidRPr="00000000" w:rsidP="00000000" w14:paraId="0000000B">
      <w:pPr>
        <w:rPr>
          <w:rFonts w:ascii="Arial" w:eastAsia="Arial" w:hAnsi="Arial" w:cs="Arial"/>
          <w:sz w:val="24"/>
          <w:szCs w:val="24"/>
        </w:rPr>
      </w:pPr>
      <w:bookmarkStart w:id="4" w:name="_heading=h.ea6ztswfojbv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“Ressalvada a hipótese do parágrafo único do art. 106, são autoridades para lavrar o auto de infração os fiscais e a Guarda Civil Municipal de Sumaré”</w:t>
      </w:r>
    </w:p>
    <w:p w:rsidR="00000000" w:rsidRPr="00000000" w:rsidP="00000000" w14:paraId="0000000C">
      <w:pPr>
        <w:rPr>
          <w:rFonts w:ascii="Arial" w:eastAsia="Arial" w:hAnsi="Arial" w:cs="Arial"/>
          <w:sz w:val="24"/>
          <w:szCs w:val="24"/>
        </w:rPr>
      </w:pPr>
      <w:bookmarkStart w:id="5" w:name="_heading=h.u57czo54bb8s" w:colFirst="0" w:colLast="0"/>
      <w:bookmarkEnd w:id="5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2º - </w:t>
      </w:r>
      <w:r w:rsidRPr="00000000">
        <w:rPr>
          <w:rFonts w:ascii="Arial" w:eastAsia="Arial" w:hAnsi="Arial" w:cs="Arial"/>
          <w:sz w:val="24"/>
          <w:szCs w:val="24"/>
          <w:rtl w:val="0"/>
        </w:rPr>
        <w:t>O artigo 60 da Lei N° 721, de 26 de abril de 1967 fica acrescido do seguinte inciso:</w:t>
      </w:r>
    </w:p>
    <w:p w:rsidR="00000000" w:rsidRPr="00000000" w:rsidP="00000000" w14:paraId="0000000D">
      <w:pPr>
        <w:rPr>
          <w:rFonts w:ascii="Arial" w:eastAsia="Arial" w:hAnsi="Arial" w:cs="Arial"/>
          <w:sz w:val="24"/>
          <w:szCs w:val="24"/>
        </w:rPr>
      </w:pPr>
      <w:bookmarkStart w:id="6" w:name="_heading=h.29qtml8y78yp" w:colFirst="0" w:colLast="0"/>
      <w:bookmarkEnd w:id="6"/>
      <w:r w:rsidRPr="00000000">
        <w:rPr>
          <w:rFonts w:ascii="Arial" w:eastAsia="Arial" w:hAnsi="Arial" w:cs="Arial"/>
          <w:sz w:val="24"/>
          <w:szCs w:val="24"/>
          <w:rtl w:val="0"/>
        </w:rPr>
        <w:t>“VII - os de equipamentos sonoros ou sinais acústicos que perturbem o sossego alheio”</w:t>
      </w:r>
    </w:p>
    <w:p w:rsidR="00000000" w:rsidRPr="00000000" w:rsidP="00000000" w14:paraId="0000000E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0F">
      <w:pPr>
        <w:rPr>
          <w:rFonts w:ascii="Arial" w:eastAsia="Arial" w:hAnsi="Arial" w:cs="Arial"/>
          <w:sz w:val="24"/>
          <w:szCs w:val="24"/>
        </w:rPr>
      </w:pPr>
      <w:bookmarkStart w:id="8" w:name="_heading=h.gflxtw41zje3" w:colFirst="0" w:colLast="0"/>
      <w:bookmarkEnd w:id="8"/>
    </w:p>
    <w:p w:rsidR="00000000" w:rsidRPr="00000000" w:rsidP="00000000" w14:paraId="000000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08 de maio de 2024.</w:t>
      </w:r>
    </w:p>
    <w:p w:rsidR="00000000" w:rsidRPr="00000000" w:rsidP="00000000" w14:paraId="00000012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552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1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Visando otimizar a fiscalização municipal, garantir o cumprimento da legislação e promover o bem-estar da população, especialmente em situações de perturbação do sossego público por sons excessivos, este Projeto de Lei propõe a ampliação das competências da Guarda Civil Municipal (GCM) de Sumaré, concedendo-lhe a atribuição de lavrar autos de infração em casos de perturbação do sossego por volume alto.</w:t>
      </w:r>
    </w:p>
    <w:p w:rsidR="00000000" w:rsidRPr="00000000" w:rsidP="00000000"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Lei nº 721, de 26 de abril de 1967, que institui o Código de Posturas do Município de Sumaré, restringe a lavratura de autos de infração aos fiscais municipais. Essa restrição, em alguns casos, limita a atuação da GCM, comprometendo a eficiência da fiscalização e a resolução célere de problemas que afetam diretamente a qualidade de vida da população.</w:t>
      </w:r>
    </w:p>
    <w:p w:rsidR="00000000" w:rsidRPr="00000000" w:rsidP="00000000" w14:paraId="0000001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É de conhecimento de todos que a GCM de Sumaré, desempenha um papel fundamental na segurança pública e na manutenção da ordem social, atuando na prevenção e repressão de diversas infrações administrativas. Sua presença ostensiva e capacidade de ação imediata a tornam um instrumento essencial para garantir o cumprimento da legislação municipal, especialmente em situações que exigem uma resposta rápida e eficaz.</w:t>
      </w:r>
    </w:p>
    <w:p w:rsidR="00000000" w:rsidRPr="00000000" w:rsidP="00000000" w14:paraId="0000001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Um dos principais desafios enfrentados pelo município é o aumento de casos de perturbação do sossego público por sons excessivos, provenientes de caixas de som, rádios, músicas altas e outros instrumentos sonoros. Essa situação gera diversos transtornos à população, como incômodo, irritação, dificuldade de concentração, sono prejudicado e até mesmo problemas de saúde, como estresse e ansiedade, além de prejudicar pessoas com hipersensibilidade auditiva.</w:t>
      </w:r>
    </w:p>
    <w:p w:rsidR="00000000" w:rsidRPr="00000000" w:rsidP="00000000" w14:paraId="000000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Atribuir à GCM a competência para lavrar autos de infração em casos de perturbação do sossego por volume alto permitirá uma atuação mais célere e eficiente na resolução do problema. </w:t>
      </w:r>
    </w:p>
    <w:p w:rsidR="00000000" w:rsidRPr="00000000" w:rsidP="00000000" w14:paraId="000000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Acreditamos que esta medida contribuirá significativamente para a construção de uma cidade mais tranquila, harmônica e com melhor qualidade de vida para todos os seus cidadãos.</w:t>
      </w:r>
    </w:p>
    <w:p w:rsidR="00000000" w:rsidRPr="00000000" w:rsidP="00000000"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1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maio de 2024</w:t>
      </w:r>
    </w:p>
    <w:p w:rsidR="00000000" w:rsidRPr="00000000" w:rsidP="00000000" w14:paraId="00000021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483187"/>
            <wp:effectExtent l="0" t="0" r="0" b="0"/>
            <wp:docPr id="15279619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32898" name="image2.png"/>
                    <pic:cNvPicPr/>
                  </pic:nvPicPr>
                  <pic:blipFill>
                    <a:blip xmlns:r="http://schemas.openxmlformats.org/officeDocument/2006/relationships" r:embed="rId5"/>
                    <a:srcRect b="1047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8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bookmarkStart w:id="9" w:name="_heading=h.3znysh7" w:colFirst="0" w:colLast="0"/>
    <w:bookmarkEnd w:id="9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63515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98999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r w:rsidRPr="00000000">
      <w:drawing>
        <wp:inline distT="0" distB="0" distL="0" distR="0">
          <wp:extent cx="1526058" cy="534121"/>
          <wp:effectExtent l="0" t="0" r="0" b="0"/>
          <wp:docPr id="15279619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6109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2224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2220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5SyZ+NSHfoTpeaS8JiXFz81Ckg==">CgMxLjAyCGguZ2pkZ3hzMg5oLmNjMmd4ZzJpczB6dzIOaC5qODI5c2UyOGN1MDkyCWguMzBqMHpsbDIOaC5lYTZ6dHN3Zm9qYnYyDmgudTU3Y3pvNTRiYjhzMg5oLjI5cXRtbDh5Nzh5cDIOaC5hOWI5dm5pODdqY2syDmguZ2ZseHR3NDF6amUzMgloLjN6bnlzaDc4AHIhMWM3VEhIQlgwbzBPaWE1R2xrQ3hYOVl5Zm5PSGlxdURq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