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2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crescenta o Parágrafo Único ao Artigo 3º da Lei Municipal Nº 6.213, de 12 junho de 2019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i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