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BB6107" w14:paraId="3C02AA91" w14:textId="3C793661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5E2B69" w:rsidR="005E2B69">
        <w:rPr>
          <w:rFonts w:ascii="Tahoma" w:hAnsi="Tahoma" w:cs="Tahoma"/>
          <w:b/>
          <w:sz w:val="24"/>
          <w:szCs w:val="24"/>
        </w:rPr>
        <w:t>Rua Alzira Pires Foffano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Pr="005E2B69" w:rsidR="005E2B69">
        <w:rPr>
          <w:rFonts w:ascii="Tahoma" w:hAnsi="Tahoma" w:cs="Tahoma"/>
          <w:bCs/>
          <w:sz w:val="24"/>
          <w:szCs w:val="24"/>
        </w:rPr>
        <w:t>314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5E2B69" w:rsidR="005E2B69">
        <w:rPr>
          <w:rFonts w:ascii="Tahoma" w:hAnsi="Tahoma" w:cs="Tahoma"/>
          <w:b/>
          <w:bCs/>
          <w:sz w:val="24"/>
          <w:szCs w:val="24"/>
        </w:rPr>
        <w:t>Parque Franceschini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BB6107" w14:paraId="4D5658F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478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2024-04-29T17:18:00Z</dcterms:created>
  <dcterms:modified xsi:type="dcterms:W3CDTF">2024-05-20T16:33:00Z</dcterms:modified>
</cp:coreProperties>
</file>