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Inclui a Tabela II no Art. 13 da Lei Municipal nº 6.790 de 1º de abril de 2022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