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0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"Inclui a Tabela II no Art. 13 da Lei Municipal nº 6.790 de 1º de abril de 2022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