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402.000,00 (quatrocentos e dois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