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no orçamento vigente no valor de R$ 812.659,20 (oitocentos e doze mil, seiscentos e cinquenta e nove reais e vinte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