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92/2024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92/2024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Acrescenta o Parágrafo Único ao Artigo 3º da Lei Municipal Nº 6.213, de 12 junho de 2019.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