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9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crescenta o Parágrafo Único ao Artigo 3º da Lei Municipal Nº 6.213, de 12 junho de 2019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