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Acrescenta o Parágrafo Único ao Artigo 3º da Lei Municipal Nº 6.213, de 12 junho de 2019.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