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91/2024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LUCAS AGOSTINHO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“Dispõe sobre a denominação da praça gerada pelo arruamento interno da Rodoviária Municipal, no paisagismo arquitetônico, que tem como confrontante viário a Rua Máximo Biondo e a Av. Julia Vasconcelos Bufarah, do loteamento denominado loteamento Anaute Atallah &amp; Cia, de Praça Maria da Conceição Pereira de Oliveira”.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maio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