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91/2024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LUCAS AGOSTINHO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“Dispõe sobre a denominação da praça gerada pelo arruamento interno da Rodoviária Municipal, no paisagismo arquitetônico, que tem como confrontante viário a Rua Máximo Biondo e a Av. Julia Vasconcelos Bufarah, do loteamento denominado loteamento Anaute Atallah &amp; Cia, de Praça Maria da Conceição Pereira de Oliveira”.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4 de maio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