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A5FE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34AE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CE5608">
        <w:rPr>
          <w:rFonts w:cstheme="minorHAnsi"/>
          <w:sz w:val="24"/>
          <w:szCs w:val="24"/>
          <w:shd w:val="clear" w:color="auto" w:fill="FFFFFF"/>
        </w:rPr>
        <w:t>5</w:t>
      </w:r>
      <w:r w:rsidR="00B7349F">
        <w:rPr>
          <w:rFonts w:cstheme="minorHAnsi"/>
          <w:sz w:val="24"/>
          <w:szCs w:val="24"/>
          <w:shd w:val="clear" w:color="auto" w:fill="FFFFFF"/>
        </w:rPr>
        <w:t>, número 356, Jardim Fantinatti, CEP:13179-322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349F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5608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0CE4"/>
    <w:rsid w:val="00EA53ED"/>
    <w:rsid w:val="00EC0D8A"/>
    <w:rsid w:val="00EC7951"/>
    <w:rsid w:val="00EF6DD6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959A-F12C-4DB4-AB18-E12F469B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2024-05-06T15:45:00Z</dcterms:created>
  <dcterms:modified xsi:type="dcterms:W3CDTF">2024-05-06T15:45:00Z</dcterms:modified>
</cp:coreProperties>
</file>